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93" w:rsidRDefault="00700186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59546780"/>
      <w:bookmarkStart w:id="1" w:name="_Hlk59547025"/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>езультаты проведенного мониторинга состояния и развития конкурентной среды</w:t>
      </w:r>
      <w:bookmarkEnd w:id="0"/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на рынках товаров, работ и услуг города Белого</w:t>
      </w:r>
      <w:proofErr w:type="gramStart"/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>рск ср</w:t>
      </w:r>
      <w:proofErr w:type="gramEnd"/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>еди субъектов предпринимательской деятельности</w:t>
      </w:r>
      <w:r w:rsidR="00C27C1B"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</w:t>
      </w:r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E79A8" w:rsidRPr="001711B8" w:rsidRDefault="000E79A8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3A93" w:rsidRDefault="00003A93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6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проведения мониторинга </w:t>
      </w:r>
      <w:r w:rsidRPr="00B22E38">
        <w:rPr>
          <w:rFonts w:ascii="Times New Roman" w:hAnsi="Times New Roman"/>
          <w:sz w:val="28"/>
          <w:szCs w:val="28"/>
        </w:rPr>
        <w:t>наличия (отсутствия) административных барьеров и оценки состояния конкурентной среды субъектами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B22E38">
        <w:rPr>
          <w:rFonts w:ascii="Times New Roman" w:hAnsi="Times New Roman"/>
          <w:sz w:val="28"/>
          <w:szCs w:val="28"/>
        </w:rPr>
        <w:t>проведено анкетирование субъектов предпринимательской деятельности.</w:t>
      </w:r>
    </w:p>
    <w:p w:rsidR="00003A93" w:rsidRDefault="00003A93" w:rsidP="00C27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t>Субъектам предпринимательской деятельности</w:t>
      </w:r>
      <w:r w:rsidR="009D4C1D"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</w:t>
      </w:r>
      <w:r w:rsidR="00C27C1B">
        <w:rPr>
          <w:rFonts w:ascii="Times New Roman" w:hAnsi="Times New Roman"/>
          <w:sz w:val="28"/>
          <w:szCs w:val="28"/>
        </w:rPr>
        <w:t>.</w:t>
      </w:r>
    </w:p>
    <w:p w:rsidR="00DF7FD0" w:rsidRDefault="00DF7FD0" w:rsidP="00C27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Предложены варианты ответов:</w:t>
      </w:r>
    </w:p>
    <w:p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Сложность/</w:t>
      </w:r>
      <w:proofErr w:type="spellStart"/>
      <w:r w:rsidRPr="00DF7FD0">
        <w:rPr>
          <w:rFonts w:ascii="Times New Roman" w:hAnsi="Times New Roman"/>
          <w:sz w:val="28"/>
          <w:szCs w:val="28"/>
        </w:rPr>
        <w:t>затянутость</w:t>
      </w:r>
      <w:proofErr w:type="spellEnd"/>
      <w:r w:rsidRPr="00DF7FD0">
        <w:rPr>
          <w:rFonts w:ascii="Times New Roman" w:hAnsi="Times New Roman"/>
          <w:sz w:val="28"/>
          <w:szCs w:val="28"/>
        </w:rPr>
        <w:t xml:space="preserve"> процедуры получения лицензий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власти.</w:t>
      </w:r>
    </w:p>
    <w:p w:rsidR="005A78BA" w:rsidRPr="00DF7FD0" w:rsidRDefault="005A78BA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Силовое давление со стороны правоохранительных органов (угрозы, вымогательства и т.д.) </w:t>
      </w:r>
    </w:p>
    <w:p w:rsidR="00DF7FD0" w:rsidRPr="00995F95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F95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условиях);</w:t>
      </w:r>
    </w:p>
    <w:p w:rsidR="00DF7FD0" w:rsidRPr="00995F95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F95">
        <w:rPr>
          <w:rFonts w:ascii="Times New Roman" w:hAnsi="Times New Roman"/>
          <w:sz w:val="28"/>
          <w:szCs w:val="28"/>
        </w:rPr>
        <w:t xml:space="preserve">Иные действия/давление со стороны </w:t>
      </w:r>
      <w:r w:rsidR="007E1C79" w:rsidRPr="00995F95">
        <w:rPr>
          <w:rFonts w:ascii="Times New Roman" w:hAnsi="Times New Roman"/>
          <w:sz w:val="28"/>
          <w:szCs w:val="28"/>
        </w:rPr>
        <w:t xml:space="preserve">правоохранительных </w:t>
      </w:r>
      <w:r w:rsidRPr="00995F95">
        <w:rPr>
          <w:rFonts w:ascii="Times New Roman" w:hAnsi="Times New Roman"/>
          <w:sz w:val="28"/>
          <w:szCs w:val="28"/>
        </w:rPr>
        <w:t>органов;</w:t>
      </w:r>
    </w:p>
    <w:p w:rsidR="00C27C1B" w:rsidRDefault="00003A93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проведенного опроса респондентами в</w:t>
      </w:r>
      <w:r w:rsidRPr="00FA4EB5">
        <w:rPr>
          <w:rFonts w:ascii="Times New Roman" w:hAnsi="Times New Roman"/>
          <w:sz w:val="28"/>
          <w:szCs w:val="28"/>
        </w:rPr>
        <w:t xml:space="preserve">ыделены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83EFD">
        <w:rPr>
          <w:rFonts w:ascii="Times New Roman" w:hAnsi="Times New Roman"/>
          <w:bCs/>
          <w:sz w:val="28"/>
          <w:szCs w:val="28"/>
        </w:rPr>
        <w:t>барьеры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63DAC" w:rsidRDefault="00963DAC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225E8" w:rsidRDefault="003225E8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79A8" w:rsidRDefault="000E79A8" w:rsidP="000E79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БАРЬЕРЫ</w:t>
      </w:r>
      <w:r w:rsidR="00963DAC" w:rsidRPr="000E79A8">
        <w:rPr>
          <w:rFonts w:ascii="Times New Roman" w:hAnsi="Times New Roman"/>
          <w:b/>
          <w:sz w:val="32"/>
          <w:szCs w:val="32"/>
        </w:rPr>
        <w:t xml:space="preserve">, </w:t>
      </w:r>
      <w:r w:rsidRPr="000E79A8">
        <w:rPr>
          <w:rFonts w:ascii="Times New Roman" w:hAnsi="Times New Roman"/>
          <w:b/>
          <w:sz w:val="28"/>
          <w:szCs w:val="28"/>
        </w:rPr>
        <w:t>С КОТОРЫМИ СТАЛКИВАЮТСЯ</w:t>
      </w:r>
    </w:p>
    <w:p w:rsidR="00963DAC" w:rsidRPr="000E79A8" w:rsidRDefault="000E79A8" w:rsidP="000E79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E79A8">
        <w:rPr>
          <w:rFonts w:ascii="Times New Roman" w:hAnsi="Times New Roman"/>
          <w:b/>
          <w:sz w:val="28"/>
          <w:szCs w:val="28"/>
        </w:rPr>
        <w:t>СУБЪЕКТЫ</w:t>
      </w:r>
    </w:p>
    <w:p w:rsidR="009965F7" w:rsidRDefault="00963DAC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65F7" w:rsidRDefault="00995F95" w:rsidP="009965F7">
      <w:pPr>
        <w:keepNext/>
        <w:spacing w:after="0" w:line="240" w:lineRule="auto"/>
        <w:ind w:firstLine="708"/>
        <w:jc w:val="both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5490" cy="2242517"/>
            <wp:effectExtent l="19050" t="0" r="22310" b="5383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3DAC" w:rsidRDefault="00963DAC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DF7FD0" w:rsidRDefault="00DF7FD0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lastRenderedPageBreak/>
        <w:t>Субъектам предпринимательской деятельности</w:t>
      </w:r>
      <w:r w:rsidR="005A78BA"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оценить уровень доступности, понятности и удобства получения официальной информации на товарных рынках субъекта РФ</w:t>
      </w:r>
      <w:r w:rsidR="00A11B61">
        <w:rPr>
          <w:rFonts w:ascii="Times New Roman" w:hAnsi="Times New Roman"/>
          <w:sz w:val="28"/>
          <w:szCs w:val="28"/>
        </w:rPr>
        <w:t xml:space="preserve"> и деятельности по содействию развитию конкуренции, размещаемой уполномоченным органом и муниципальным образованием.</w:t>
      </w:r>
    </w:p>
    <w:p w:rsidR="00A11B61" w:rsidRDefault="00A11B61" w:rsidP="00A11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Предложено оценить </w:t>
      </w:r>
      <w:r w:rsidR="00255848">
        <w:rPr>
          <w:rFonts w:ascii="Times New Roman" w:hAnsi="Times New Roman"/>
          <w:sz w:val="28"/>
          <w:szCs w:val="28"/>
        </w:rPr>
        <w:t>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нормативной базе;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перечне товарных рынков для содействия развитию конкуренции в регионе;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Обеспечение доступности плана мероприятий региона;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проведенных обучающих мероприятиях для органов местного самоуправления региона;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проведенных мониторингах в регионе и сформированном ежегодном докладе.</w:t>
      </w:r>
    </w:p>
    <w:p w:rsidR="007E11F7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 w:rsidR="00255848">
        <w:rPr>
          <w:rFonts w:ascii="Times New Roman" w:hAnsi="Times New Roman"/>
          <w:sz w:val="28"/>
          <w:szCs w:val="28"/>
        </w:rPr>
        <w:t>оценки можно судить об удовлетворенности уровнем доступности информации</w:t>
      </w:r>
      <w:r w:rsidRPr="00FA4EB5">
        <w:rPr>
          <w:rFonts w:ascii="Times New Roman" w:hAnsi="Times New Roman"/>
          <w:sz w:val="28"/>
          <w:szCs w:val="28"/>
        </w:rPr>
        <w:t>:</w:t>
      </w:r>
    </w:p>
    <w:p w:rsidR="003225E8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 </w:t>
      </w:r>
    </w:p>
    <w:p w:rsidR="00DD3EE4" w:rsidRDefault="000E79A8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УДОВЛЕТВОРЕННОСТЬ УРОВНЕМ </w:t>
      </w:r>
    </w:p>
    <w:p w:rsidR="00DD3EE4" w:rsidRDefault="000E79A8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ДОСТУПНОСТИ, ПОНЯТНОСТИ И УДОБСТВА </w:t>
      </w:r>
    </w:p>
    <w:p w:rsidR="00DD3EE4" w:rsidRDefault="00DD3EE4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ПОЛУЧЕНИЯ ИНФОРМАЦИИ ПО СОДЕЙСТВИЮ </w:t>
      </w:r>
    </w:p>
    <w:p w:rsidR="007E11F7" w:rsidRPr="007E11F7" w:rsidRDefault="00DD3EE4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РАЗВИТИЮ КОНКУРЕНЦИИ</w:t>
      </w:r>
    </w:p>
    <w:p w:rsidR="00FE3E25" w:rsidRDefault="00FE3E25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A11B61" w:rsidRDefault="00640485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0840" cy="2279176"/>
            <wp:effectExtent l="19050" t="0" r="10710" b="682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1977" w:rsidRDefault="00BA1977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3225E8" w:rsidRDefault="003225E8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003A93" w:rsidRPr="00FA4EB5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t>Субъектам предпринимательской деятельности</w:t>
      </w:r>
      <w:r w:rsidR="005A78BA"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оценить качество товаров, работ и услуг на рынках субъекта РФ и состояние ценовой конкуренции.</w:t>
      </w:r>
    </w:p>
    <w:p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проведенного опроса респондентами в</w:t>
      </w:r>
      <w:r w:rsidRPr="00FA4EB5">
        <w:rPr>
          <w:rFonts w:ascii="Times New Roman" w:hAnsi="Times New Roman"/>
          <w:sz w:val="28"/>
          <w:szCs w:val="28"/>
        </w:rPr>
        <w:t>ыделен</w:t>
      </w:r>
      <w:r w:rsidR="001232E1">
        <w:rPr>
          <w:rFonts w:ascii="Times New Roman" w:hAnsi="Times New Roman"/>
          <w:sz w:val="28"/>
          <w:szCs w:val="28"/>
        </w:rPr>
        <w:t>о</w:t>
      </w:r>
      <w:r w:rsidR="005A7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1232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="001232E1">
        <w:rPr>
          <w:rFonts w:ascii="Times New Roman" w:hAnsi="Times New Roman"/>
          <w:sz w:val="28"/>
          <w:szCs w:val="28"/>
        </w:rPr>
        <w:t>:</w:t>
      </w:r>
    </w:p>
    <w:p w:rsidR="003225E8" w:rsidRDefault="003225E8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237840" w:rsidRPr="00237840" w:rsidRDefault="00DD3EE4" w:rsidP="00237840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УДОВЛЕТВОРЕННОСТИ КАЧЕСТВОМ ТОВАРОВ, РАБОТ И УСЛУГ И СОСТОЯНИЕМ ЦЕНОВОЙ КОНКУРЕНЦИИ</w:t>
      </w:r>
    </w:p>
    <w:p w:rsidR="00003A93" w:rsidRDefault="00861926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91151" cy="2333767"/>
            <wp:effectExtent l="19050" t="0" r="28499" b="9383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3A93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оценки можно судить об удовлетворенности качеством товаров, работ и услуг на рынках субъекта РФ и состоянием ценовой конкуренции.</w:t>
      </w:r>
    </w:p>
    <w:p w:rsidR="00EB372C" w:rsidRDefault="00EB372C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57E1" w:rsidRDefault="00DA57E1" w:rsidP="00EB3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3A93" w:rsidRDefault="00003A93" w:rsidP="00EB3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372C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проведенного ежегодного мониторинга удовлетворенности потребителей качеством товаров, работ и услуг на товарных рынках субъекта Российской Федерации и состоянием ценовой конкуренции</w:t>
      </w:r>
      <w:r w:rsidR="001232E1" w:rsidRPr="00EB37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области.</w:t>
      </w:r>
    </w:p>
    <w:p w:rsidR="00EF3931" w:rsidRPr="00EB372C" w:rsidRDefault="00EF3931" w:rsidP="00EB3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3A93" w:rsidRPr="009C175F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175F">
        <w:rPr>
          <w:rFonts w:ascii="Times New Roman" w:hAnsi="Times New Roman"/>
          <w:spacing w:val="-6"/>
          <w:kern w:val="16"/>
          <w:sz w:val="28"/>
          <w:szCs w:val="28"/>
        </w:rPr>
        <w:t>В рамках проведения мониторинга проведен опрос потребителей об удовлетворенности качеством товаров (услуг)</w:t>
      </w: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 и уровнем цен.</w:t>
      </w:r>
    </w:p>
    <w:p w:rsidR="00003A93" w:rsidRPr="009C175F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175F">
        <w:rPr>
          <w:rFonts w:ascii="Times New Roman" w:hAnsi="Times New Roman"/>
          <w:spacing w:val="-6"/>
          <w:kern w:val="16"/>
          <w:sz w:val="28"/>
          <w:szCs w:val="28"/>
        </w:rPr>
        <w:t>К проведению опросов был</w:t>
      </w:r>
      <w:r>
        <w:rPr>
          <w:rFonts w:ascii="Times New Roman" w:hAnsi="Times New Roman"/>
          <w:spacing w:val="-6"/>
          <w:kern w:val="16"/>
          <w:sz w:val="28"/>
          <w:szCs w:val="28"/>
        </w:rPr>
        <w:t>и привлечены жители города Белогорск.</w:t>
      </w:r>
    </w:p>
    <w:p w:rsidR="0079059D" w:rsidRDefault="00003A93" w:rsidP="0000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proofErr w:type="gramStart"/>
      <w:r w:rsidRPr="009D702E">
        <w:rPr>
          <w:rFonts w:ascii="Times New Roman" w:hAnsi="Times New Roman"/>
          <w:sz w:val="28"/>
          <w:szCs w:val="28"/>
          <w:lang w:eastAsia="ru-RU"/>
        </w:rPr>
        <w:t xml:space="preserve">Основная масса респондентов в основном пришлась на возраст от 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35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44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лет –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29,9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79059D">
        <w:rPr>
          <w:rFonts w:ascii="Times New Roman" w:hAnsi="Times New Roman"/>
          <w:sz w:val="28"/>
          <w:szCs w:val="28"/>
          <w:lang w:eastAsia="ru-RU"/>
        </w:rPr>
        <w:t>опрошенных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26,4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- от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2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5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34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 w:rsidRPr="007905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25</w:t>
      </w:r>
      <w:r w:rsidRPr="00BA1977">
        <w:rPr>
          <w:rFonts w:ascii="Times New Roman" w:hAnsi="Times New Roman"/>
          <w:sz w:val="28"/>
          <w:szCs w:val="28"/>
          <w:lang w:eastAsia="ru-RU"/>
        </w:rPr>
        <w:t>%</w:t>
      </w:r>
      <w:r w:rsidRPr="0079059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831320" w:rsidRPr="00790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45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5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4 лет</w:t>
      </w:r>
      <w:r w:rsidR="00831320" w:rsidRPr="00BA1977">
        <w:rPr>
          <w:rFonts w:ascii="Times New Roman" w:hAnsi="Times New Roman"/>
          <w:sz w:val="28"/>
          <w:szCs w:val="28"/>
          <w:lang w:eastAsia="ru-RU"/>
        </w:rPr>
        <w:t>,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12,</w:t>
      </w:r>
      <w:r w:rsidR="00831320" w:rsidRPr="00BA1977">
        <w:rPr>
          <w:rFonts w:ascii="Times New Roman" w:hAnsi="Times New Roman"/>
          <w:sz w:val="28"/>
          <w:szCs w:val="28"/>
          <w:lang w:eastAsia="ru-RU"/>
        </w:rPr>
        <w:t xml:space="preserve"> 5 %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320" w:rsidRPr="00BA1977">
        <w:rPr>
          <w:rFonts w:ascii="Times New Roman" w:hAnsi="Times New Roman"/>
          <w:sz w:val="28"/>
          <w:szCs w:val="28"/>
          <w:lang w:eastAsia="ru-RU"/>
        </w:rPr>
        <w:t>-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>от 55 до 64 лет, 4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,3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от 65 и выше,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1,9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>-  от 18 до 24 лет.</w:t>
      </w:r>
      <w:proofErr w:type="gramEnd"/>
    </w:p>
    <w:p w:rsidR="00003A93" w:rsidRDefault="005D3B4A" w:rsidP="0000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97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proofErr w:type="gramStart"/>
      <w:r w:rsidRPr="00BA1977">
        <w:rPr>
          <w:rFonts w:ascii="Times New Roman" w:hAnsi="Times New Roman"/>
          <w:sz w:val="28"/>
          <w:szCs w:val="28"/>
          <w:lang w:eastAsia="ru-RU"/>
        </w:rPr>
        <w:t>опрошенных</w:t>
      </w:r>
      <w:proofErr w:type="gramEnd"/>
      <w:r w:rsidRPr="00BA1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5952" w:rsidRPr="00BA1977">
        <w:rPr>
          <w:rFonts w:ascii="Times New Roman" w:hAnsi="Times New Roman"/>
          <w:sz w:val="28"/>
          <w:szCs w:val="28"/>
          <w:lang w:eastAsia="ru-RU"/>
        </w:rPr>
        <w:t>– это женщины.</w:t>
      </w:r>
    </w:p>
    <w:p w:rsidR="00DA57E1" w:rsidRDefault="00DA57E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13271" w:rsidRDefault="00B1327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t>Результаты анкетирования потребителей об удовлетворенности</w:t>
      </w:r>
      <w:r w:rsidR="005A78BA">
        <w:rPr>
          <w:rFonts w:ascii="Times New Roman" w:hAnsi="Times New Roman"/>
          <w:spacing w:val="-6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уровнем цен </w:t>
      </w: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следующих товаров и услуг на рынках Вашего района (города) по следующим критериям</w:t>
      </w:r>
      <w:r>
        <w:rPr>
          <w:rFonts w:ascii="Times New Roman" w:hAnsi="Times New Roman"/>
          <w:spacing w:val="-6"/>
          <w:kern w:val="16"/>
          <w:sz w:val="28"/>
          <w:szCs w:val="28"/>
        </w:rPr>
        <w:t>: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Розничная торговля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Медицинские услуги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Психолого-педагогическое сопровождение детей с ограниченными возможностями здоровья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Дошкольное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Общее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lastRenderedPageBreak/>
        <w:t>Дополнительное образование детей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Ритуальные услуги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Племенное животноводство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Семеноводство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Жилищное строительство 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Строительство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Дорожная деятельность (за исключением проектирования)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Архитектурно-строительное проектирование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Кадастровые и землеустроительные работы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Добыча общераспространенных полезных ископаемых на участках недр местного значения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Теплоснабжение (производство тепловой энергии)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Выполнение работ по благоустройству городской среды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Выполнение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Поставка сжиженного газа в баллонах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Купля-продажа электрической энергии (мощности) на розничном рынке электрической энергии (мощности)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когенерации</w:t>
      </w:r>
      <w:proofErr w:type="spellEnd"/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Рынок нефтепродуктов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и багажа легковым такси на территории Амурской области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Обработка древесины и производство изделий из дерева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кирпича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бетона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Услуги связи, в том числе услуги по предоставлению широкополосного доступа к информационно-телекоммуникационной сети Интернет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Услуги в сфере наружной рекламы</w:t>
      </w:r>
      <w:r w:rsidR="009C51BD"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9C51BD" w:rsidRDefault="009C51BD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51BD">
        <w:rPr>
          <w:rFonts w:ascii="Times New Roman" w:hAnsi="Times New Roman"/>
          <w:spacing w:val="-6"/>
          <w:kern w:val="16"/>
          <w:sz w:val="28"/>
          <w:szCs w:val="28"/>
        </w:rPr>
        <w:t>Рынок социальных услуг</w:t>
      </w:r>
      <w:r>
        <w:rPr>
          <w:rFonts w:ascii="Times New Roman" w:hAnsi="Times New Roman"/>
          <w:spacing w:val="-6"/>
          <w:kern w:val="16"/>
          <w:sz w:val="28"/>
          <w:szCs w:val="28"/>
        </w:rPr>
        <w:t>.</w:t>
      </w:r>
    </w:p>
    <w:p w:rsidR="0018278E" w:rsidRDefault="0018278E" w:rsidP="0018278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DD3EE4" w:rsidRDefault="00DD3EE4" w:rsidP="0018278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9C51BD" w:rsidRDefault="00AB3248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rFonts w:ascii="Times New Roman" w:hAnsi="Times New Roman"/>
          <w:noProof/>
          <w:spacing w:val="-6"/>
          <w:kern w:val="16"/>
          <w:sz w:val="28"/>
          <w:szCs w:val="28"/>
          <w:lang w:eastAsia="ru-RU"/>
        </w:rPr>
        <w:lastRenderedPageBreak/>
        <w:drawing>
          <wp:inline distT="0" distB="0" distL="0" distR="0">
            <wp:extent cx="5275798" cy="2804615"/>
            <wp:effectExtent l="19050" t="0" r="2010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3248" w:rsidRDefault="00AB3248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8115AA" w:rsidRDefault="008115AA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9C51BD" w:rsidRDefault="009C51BD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EF3931">
        <w:rPr>
          <w:rFonts w:ascii="Times New Roman" w:hAnsi="Times New Roman"/>
          <w:spacing w:val="-6"/>
          <w:kern w:val="16"/>
          <w:sz w:val="28"/>
          <w:szCs w:val="28"/>
        </w:rPr>
        <w:t xml:space="preserve">По результатам опроса можно судить о неудовлетворенности потребителей </w:t>
      </w:r>
      <w:r w:rsidR="006C31FA" w:rsidRPr="00EF3931">
        <w:rPr>
          <w:rFonts w:ascii="Times New Roman" w:hAnsi="Times New Roman"/>
          <w:spacing w:val="-6"/>
          <w:kern w:val="16"/>
          <w:sz w:val="28"/>
          <w:szCs w:val="28"/>
        </w:rPr>
        <w:t>уровнем цен товаров и услуг.</w:t>
      </w:r>
    </w:p>
    <w:p w:rsidR="00003A93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t>Результаты анкетирования потребителей об удовлетворенности качеством товаров и услуг по отраслям выглядят следующим образом:</w:t>
      </w:r>
    </w:p>
    <w:p w:rsidR="00F8084C" w:rsidRDefault="00F8084C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rFonts w:ascii="Times New Roman" w:hAnsi="Times New Roman"/>
          <w:noProof/>
          <w:spacing w:val="-6"/>
          <w:kern w:val="16"/>
          <w:sz w:val="28"/>
          <w:szCs w:val="28"/>
          <w:lang w:eastAsia="ru-RU"/>
        </w:rPr>
        <w:drawing>
          <wp:inline distT="0" distB="0" distL="0" distR="0">
            <wp:extent cx="5440055" cy="2859206"/>
            <wp:effectExtent l="19050" t="0" r="2729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921" w:rsidRDefault="00B55921" w:rsidP="0018278E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18278E" w:rsidRDefault="0018278E" w:rsidP="00182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700186">
        <w:rPr>
          <w:rFonts w:ascii="Times New Roman" w:hAnsi="Times New Roman"/>
          <w:spacing w:val="-6"/>
          <w:kern w:val="16"/>
          <w:sz w:val="28"/>
          <w:szCs w:val="28"/>
        </w:rPr>
        <w:t>По результатам проведенного опроса можно судить об удовлетворенности населения качеством следующих товаров и услуг: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FD">
        <w:rPr>
          <w:rFonts w:ascii="Times New Roman" w:hAnsi="Times New Roman"/>
          <w:sz w:val="28"/>
          <w:szCs w:val="28"/>
          <w:lang w:eastAsia="ru-RU"/>
        </w:rPr>
        <w:t>Розничная торговля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FD">
        <w:rPr>
          <w:rFonts w:ascii="Times New Roman" w:hAnsi="Times New Roman"/>
          <w:sz w:val="28"/>
          <w:szCs w:val="28"/>
          <w:lang w:eastAsia="ru-RU"/>
        </w:rPr>
        <w:t>Общее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Дошкольное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A64310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Выполнение работ по благоустройству городской среды</w:t>
      </w:r>
      <w:r w:rsidR="0018278E"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A64310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Услуги связи, в том числе услуги по предоставлению широкополосного доступа к информационно-телекоммуникационной сети Интернет</w:t>
      </w:r>
      <w:r w:rsidR="0018278E">
        <w:rPr>
          <w:rFonts w:ascii="Times New Roman" w:hAnsi="Times New Roman"/>
          <w:sz w:val="28"/>
          <w:szCs w:val="28"/>
          <w:lang w:eastAsia="ru-RU"/>
        </w:rPr>
        <w:t>.</w:t>
      </w:r>
    </w:p>
    <w:p w:rsidR="0018278E" w:rsidRDefault="0018278E" w:rsidP="0018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При этом 35 % опрошенных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недовольны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качеством предоставляемых услуг на следующих рынках:</w:t>
      </w:r>
    </w:p>
    <w:p w:rsidR="0018278E" w:rsidRDefault="0018278E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F6B">
        <w:rPr>
          <w:rFonts w:ascii="Times New Roman" w:hAnsi="Times New Roman"/>
          <w:sz w:val="28"/>
          <w:szCs w:val="28"/>
          <w:lang w:eastAsia="ru-RU"/>
        </w:rPr>
        <w:t>Дорожная деятельность (за исключением проектирования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447">
        <w:rPr>
          <w:rFonts w:ascii="Times New Roman" w:hAnsi="Times New Roman"/>
          <w:sz w:val="28"/>
          <w:szCs w:val="28"/>
          <w:lang w:eastAsia="ru-RU"/>
        </w:rPr>
        <w:t>Медицинские услуги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FC5" w:rsidRDefault="00AD6FC5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Психолого-педагогическое сопровождение детей с ограниченными возможностями здоровья;</w:t>
      </w:r>
    </w:p>
    <w:p w:rsidR="00AD6FC5" w:rsidRDefault="00AD6FC5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работ по содержанию и текущему ремонту общего имущества собственников помещений в многоквартирном доме;</w:t>
      </w:r>
    </w:p>
    <w:p w:rsidR="0018278E" w:rsidRDefault="00AD6FC5" w:rsidP="0018278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Купля-продажа электрической энергии (мощности) на розничном рынке электрической энергии (мощности)</w:t>
      </w:r>
      <w:r w:rsidR="0018278E"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AD6FC5" w:rsidP="0018278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Рынок нефтепродуктов</w:t>
      </w:r>
      <w:r w:rsidR="0018278E">
        <w:rPr>
          <w:rFonts w:ascii="Times New Roman" w:hAnsi="Times New Roman"/>
          <w:sz w:val="28"/>
          <w:szCs w:val="28"/>
          <w:lang w:eastAsia="ru-RU"/>
        </w:rPr>
        <w:t>.</w:t>
      </w:r>
    </w:p>
    <w:p w:rsidR="00C60E75" w:rsidRPr="00591F6B" w:rsidRDefault="00C60E75" w:rsidP="00C60E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Затруднения в выборе ответа вызвали сферы:</w:t>
      </w:r>
      <w:r w:rsidR="00DB3AB0">
        <w:rPr>
          <w:rFonts w:ascii="Times New Roman" w:hAnsi="Times New Roman"/>
          <w:sz w:val="28"/>
          <w:szCs w:val="28"/>
          <w:lang w:eastAsia="ru-RU"/>
        </w:rPr>
        <w:t xml:space="preserve"> «племенное животноводство» (78,9%), «семеноводство» (</w:t>
      </w:r>
      <w:r w:rsidR="00DA57E1">
        <w:rPr>
          <w:rFonts w:ascii="Times New Roman" w:hAnsi="Times New Roman"/>
          <w:sz w:val="28"/>
          <w:szCs w:val="28"/>
          <w:lang w:eastAsia="ru-RU"/>
        </w:rPr>
        <w:t>76,4</w:t>
      </w:r>
      <w:r w:rsidR="00DB3AB0">
        <w:rPr>
          <w:rFonts w:ascii="Times New Roman" w:hAnsi="Times New Roman"/>
          <w:sz w:val="28"/>
          <w:szCs w:val="28"/>
          <w:lang w:eastAsia="ru-RU"/>
        </w:rPr>
        <w:t>%), «добыча общераспространенных полезных ископаемых на участках недр местного значения» (</w:t>
      </w:r>
      <w:r w:rsidR="00DA57E1">
        <w:rPr>
          <w:rFonts w:ascii="Times New Roman" w:hAnsi="Times New Roman"/>
          <w:sz w:val="28"/>
          <w:szCs w:val="28"/>
          <w:lang w:eastAsia="ru-RU"/>
        </w:rPr>
        <w:t>78,3</w:t>
      </w:r>
      <w:r w:rsidR="00DB3AB0">
        <w:rPr>
          <w:rFonts w:ascii="Times New Roman" w:hAnsi="Times New Roman"/>
          <w:sz w:val="28"/>
          <w:szCs w:val="28"/>
          <w:lang w:eastAsia="ru-RU"/>
        </w:rPr>
        <w:t>%), «производство кирпича» (</w:t>
      </w:r>
      <w:r w:rsidR="00DA57E1">
        <w:rPr>
          <w:rFonts w:ascii="Times New Roman" w:hAnsi="Times New Roman"/>
          <w:sz w:val="28"/>
          <w:szCs w:val="28"/>
          <w:lang w:eastAsia="ru-RU"/>
        </w:rPr>
        <w:t>75</w:t>
      </w:r>
      <w:r w:rsidR="00DB3AB0">
        <w:rPr>
          <w:rFonts w:ascii="Times New Roman" w:hAnsi="Times New Roman"/>
          <w:sz w:val="28"/>
          <w:szCs w:val="28"/>
          <w:lang w:eastAsia="ru-RU"/>
        </w:rPr>
        <w:t>%), «производство бетона» (</w:t>
      </w:r>
      <w:r w:rsidR="00DA57E1">
        <w:rPr>
          <w:rFonts w:ascii="Times New Roman" w:hAnsi="Times New Roman"/>
          <w:sz w:val="28"/>
          <w:szCs w:val="28"/>
          <w:lang w:eastAsia="ru-RU"/>
        </w:rPr>
        <w:t>75</w:t>
      </w:r>
      <w:r w:rsidR="00DB3AB0">
        <w:rPr>
          <w:rFonts w:ascii="Times New Roman" w:hAnsi="Times New Roman"/>
          <w:sz w:val="28"/>
          <w:szCs w:val="28"/>
          <w:lang w:eastAsia="ru-RU"/>
        </w:rPr>
        <w:t>%).</w:t>
      </w:r>
    </w:p>
    <w:p w:rsidR="0018278E" w:rsidRDefault="0018278E" w:rsidP="00182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три последних года 47% респондентов отметили, что количества организаций в городе Белогорск не изменилось. </w:t>
      </w: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18278E" w:rsidRPr="007F6889" w:rsidRDefault="0018278E" w:rsidP="001827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bookmarkEnd w:id="1"/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sectPr w:rsidR="00B55921" w:rsidSect="000E79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858"/>
    <w:multiLevelType w:val="hybridMultilevel"/>
    <w:tmpl w:val="FC60A008"/>
    <w:lvl w:ilvl="0" w:tplc="3936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74218"/>
    <w:multiLevelType w:val="hybridMultilevel"/>
    <w:tmpl w:val="BF8C11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A469A1"/>
    <w:multiLevelType w:val="hybridMultilevel"/>
    <w:tmpl w:val="EF44A27C"/>
    <w:lvl w:ilvl="0" w:tplc="5AE80E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3F1C53"/>
    <w:multiLevelType w:val="hybridMultilevel"/>
    <w:tmpl w:val="903CF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71171D"/>
    <w:multiLevelType w:val="hybridMultilevel"/>
    <w:tmpl w:val="DD00C72C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520D1C"/>
    <w:multiLevelType w:val="hybridMultilevel"/>
    <w:tmpl w:val="16D6799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633DA3"/>
    <w:multiLevelType w:val="hybridMultilevel"/>
    <w:tmpl w:val="8564ADBE"/>
    <w:lvl w:ilvl="0" w:tplc="0488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8B580C"/>
    <w:multiLevelType w:val="hybridMultilevel"/>
    <w:tmpl w:val="3240420C"/>
    <w:lvl w:ilvl="0" w:tplc="60B6C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C548F"/>
    <w:multiLevelType w:val="hybridMultilevel"/>
    <w:tmpl w:val="85C4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B5155"/>
    <w:multiLevelType w:val="hybridMultilevel"/>
    <w:tmpl w:val="5B065D6C"/>
    <w:lvl w:ilvl="0" w:tplc="6E88C8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47410F"/>
    <w:multiLevelType w:val="hybridMultilevel"/>
    <w:tmpl w:val="A008DA2A"/>
    <w:lvl w:ilvl="0" w:tplc="0CC8A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EE69BB"/>
    <w:multiLevelType w:val="hybridMultilevel"/>
    <w:tmpl w:val="FE468E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047245D"/>
    <w:multiLevelType w:val="hybridMultilevel"/>
    <w:tmpl w:val="96026236"/>
    <w:lvl w:ilvl="0" w:tplc="22940B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43AE4"/>
    <w:multiLevelType w:val="hybridMultilevel"/>
    <w:tmpl w:val="FA9832C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A49"/>
    <w:rsid w:val="00003A93"/>
    <w:rsid w:val="00012FFD"/>
    <w:rsid w:val="000209D5"/>
    <w:rsid w:val="00043C18"/>
    <w:rsid w:val="00054BAE"/>
    <w:rsid w:val="00064702"/>
    <w:rsid w:val="000C1E42"/>
    <w:rsid w:val="000E47B5"/>
    <w:rsid w:val="000E79A8"/>
    <w:rsid w:val="000E7DCD"/>
    <w:rsid w:val="00105F4C"/>
    <w:rsid w:val="00105FF6"/>
    <w:rsid w:val="0010785A"/>
    <w:rsid w:val="001232E1"/>
    <w:rsid w:val="00124CA3"/>
    <w:rsid w:val="00152D66"/>
    <w:rsid w:val="00170200"/>
    <w:rsid w:val="001711B8"/>
    <w:rsid w:val="0018278E"/>
    <w:rsid w:val="00221A35"/>
    <w:rsid w:val="00225CD2"/>
    <w:rsid w:val="00237840"/>
    <w:rsid w:val="00255848"/>
    <w:rsid w:val="00263BEE"/>
    <w:rsid w:val="002B6A12"/>
    <w:rsid w:val="003225E8"/>
    <w:rsid w:val="0032375F"/>
    <w:rsid w:val="00327818"/>
    <w:rsid w:val="00355D29"/>
    <w:rsid w:val="00366621"/>
    <w:rsid w:val="00372735"/>
    <w:rsid w:val="003A432D"/>
    <w:rsid w:val="003C2CE8"/>
    <w:rsid w:val="00407FC4"/>
    <w:rsid w:val="0042667F"/>
    <w:rsid w:val="0045130E"/>
    <w:rsid w:val="004A1A72"/>
    <w:rsid w:val="004A62DE"/>
    <w:rsid w:val="004C453C"/>
    <w:rsid w:val="004D5A1A"/>
    <w:rsid w:val="004E5328"/>
    <w:rsid w:val="004E5FFE"/>
    <w:rsid w:val="004F40B6"/>
    <w:rsid w:val="00526D08"/>
    <w:rsid w:val="00533A8B"/>
    <w:rsid w:val="00560943"/>
    <w:rsid w:val="00591F6B"/>
    <w:rsid w:val="005A78BA"/>
    <w:rsid w:val="005C110B"/>
    <w:rsid w:val="005D3B4A"/>
    <w:rsid w:val="005F2084"/>
    <w:rsid w:val="00640485"/>
    <w:rsid w:val="0064604D"/>
    <w:rsid w:val="00663A5A"/>
    <w:rsid w:val="00693AD7"/>
    <w:rsid w:val="006C31FA"/>
    <w:rsid w:val="00700186"/>
    <w:rsid w:val="0072228B"/>
    <w:rsid w:val="007269ED"/>
    <w:rsid w:val="007332F4"/>
    <w:rsid w:val="00733BA5"/>
    <w:rsid w:val="00734BD8"/>
    <w:rsid w:val="00736D8F"/>
    <w:rsid w:val="00763068"/>
    <w:rsid w:val="0079059D"/>
    <w:rsid w:val="007A6C8B"/>
    <w:rsid w:val="007E11F7"/>
    <w:rsid w:val="007E1C79"/>
    <w:rsid w:val="008115AA"/>
    <w:rsid w:val="00831320"/>
    <w:rsid w:val="00840A49"/>
    <w:rsid w:val="00842447"/>
    <w:rsid w:val="00861926"/>
    <w:rsid w:val="008671F5"/>
    <w:rsid w:val="00874528"/>
    <w:rsid w:val="0088177A"/>
    <w:rsid w:val="00904C79"/>
    <w:rsid w:val="0091049B"/>
    <w:rsid w:val="0091534B"/>
    <w:rsid w:val="00941A49"/>
    <w:rsid w:val="00963A8E"/>
    <w:rsid w:val="00963DAC"/>
    <w:rsid w:val="00995F95"/>
    <w:rsid w:val="009965F7"/>
    <w:rsid w:val="009B2FF2"/>
    <w:rsid w:val="009C51BD"/>
    <w:rsid w:val="009D4C1D"/>
    <w:rsid w:val="009D702E"/>
    <w:rsid w:val="00A11B61"/>
    <w:rsid w:val="00A14B54"/>
    <w:rsid w:val="00A15728"/>
    <w:rsid w:val="00A17722"/>
    <w:rsid w:val="00A30A07"/>
    <w:rsid w:val="00A36F6E"/>
    <w:rsid w:val="00A64310"/>
    <w:rsid w:val="00A664B9"/>
    <w:rsid w:val="00A77E51"/>
    <w:rsid w:val="00A95A82"/>
    <w:rsid w:val="00A96770"/>
    <w:rsid w:val="00AB3248"/>
    <w:rsid w:val="00AD6FC5"/>
    <w:rsid w:val="00B13271"/>
    <w:rsid w:val="00B224E8"/>
    <w:rsid w:val="00B42484"/>
    <w:rsid w:val="00B55921"/>
    <w:rsid w:val="00BA1977"/>
    <w:rsid w:val="00BD1C25"/>
    <w:rsid w:val="00BF721E"/>
    <w:rsid w:val="00C0704F"/>
    <w:rsid w:val="00C27C1B"/>
    <w:rsid w:val="00C60E75"/>
    <w:rsid w:val="00C65952"/>
    <w:rsid w:val="00C76729"/>
    <w:rsid w:val="00CA7951"/>
    <w:rsid w:val="00CC1F96"/>
    <w:rsid w:val="00D10810"/>
    <w:rsid w:val="00D358F4"/>
    <w:rsid w:val="00DA57E1"/>
    <w:rsid w:val="00DB3AB0"/>
    <w:rsid w:val="00DD3295"/>
    <w:rsid w:val="00DD3EE4"/>
    <w:rsid w:val="00DF1611"/>
    <w:rsid w:val="00DF3332"/>
    <w:rsid w:val="00DF7FD0"/>
    <w:rsid w:val="00E4056C"/>
    <w:rsid w:val="00E61CE5"/>
    <w:rsid w:val="00E83EFD"/>
    <w:rsid w:val="00E93B43"/>
    <w:rsid w:val="00EB372C"/>
    <w:rsid w:val="00EF3931"/>
    <w:rsid w:val="00F128BD"/>
    <w:rsid w:val="00F2216B"/>
    <w:rsid w:val="00F54C27"/>
    <w:rsid w:val="00F670ED"/>
    <w:rsid w:val="00F8084C"/>
    <w:rsid w:val="00FD2AFD"/>
    <w:rsid w:val="00FE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1D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965F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995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63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30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Сложность/затянутость процедуры получения лицензий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4">
                  <c:v>Необходимость установления партнерских отношений с органами власти</c:v>
                </c:pt>
                <c:pt idx="5">
                  <c:v>Силовое давление со стороны правоохранительных органов (угрозы, вымогательства и т.д.)</c:v>
                </c:pt>
                <c:pt idx="6">
                  <c:v>Коррупция (включая взятки, дискриминацию и предоставление преференций отдельным участникам на заведомо неравных условиях</c:v>
                </c:pt>
                <c:pt idx="7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8">
                  <c:v>Иные действия/давление со стороны органов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0.30000000000000032</c:v>
                </c:pt>
                <c:pt idx="7">
                  <c:v>0.30000000000000032</c:v>
                </c:pt>
                <c:pt idx="8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Сложность/затянутость процедуры получения лицензий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4">
                  <c:v>Необходимость установления партнерских отношений с органами власти</c:v>
                </c:pt>
                <c:pt idx="5">
                  <c:v>Силовое давление со стороны правоохранительных органов (угрозы, вымогательства и т.д.)</c:v>
                </c:pt>
                <c:pt idx="6">
                  <c:v>Коррупция (включая взятки, дискриминацию и предоставление преференций отдельным участникам на заведомо неравных условиях</c:v>
                </c:pt>
                <c:pt idx="7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8">
                  <c:v>Иные действия/давление со стороны органов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Сложность/затянутость процедуры получения лицензий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4">
                  <c:v>Необходимость установления партнерских отношений с органами власти</c:v>
                </c:pt>
                <c:pt idx="5">
                  <c:v>Силовое давление со стороны правоохранительных органов (угрозы, вымогательства и т.д.)</c:v>
                </c:pt>
                <c:pt idx="6">
                  <c:v>Коррупция (включая взятки, дискриминацию и предоставление преференций отдельным участникам на заведомо неравных условиях</c:v>
                </c:pt>
                <c:pt idx="7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8">
                  <c:v>Иные действия/давление со стороны органов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overlap val="100"/>
        <c:axId val="25474944"/>
        <c:axId val="25497600"/>
      </c:barChart>
      <c:catAx>
        <c:axId val="254749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497600"/>
        <c:crosses val="autoZero"/>
        <c:auto val="1"/>
        <c:lblAlgn val="ctr"/>
        <c:lblOffset val="100"/>
      </c:catAx>
      <c:valAx>
        <c:axId val="254976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474944"/>
        <c:crosses val="autoZero"/>
        <c:crossBetween val="between"/>
      </c:valAx>
    </c:plotArea>
    <c:plotVisOnly val="1"/>
  </c:chart>
  <c:spPr>
    <a:effectLst>
      <a:innerShdw blurRad="114300">
        <a:prstClr val="black"/>
      </a:inn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 удовлетворительно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axId val="37028224"/>
        <c:axId val="37029760"/>
      </c:barChart>
      <c:catAx>
        <c:axId val="37028224"/>
        <c:scaling>
          <c:orientation val="minMax"/>
        </c:scaling>
        <c:axPos val="l"/>
        <c:tickLblPos val="nextTo"/>
        <c:crossAx val="37029760"/>
        <c:crosses val="autoZero"/>
        <c:auto val="1"/>
        <c:lblAlgn val="ctr"/>
        <c:lblOffset val="100"/>
      </c:catAx>
      <c:valAx>
        <c:axId val="37029760"/>
        <c:scaling>
          <c:orientation val="minMax"/>
        </c:scaling>
        <c:axPos val="b"/>
        <c:majorGridlines/>
        <c:numFmt formatCode="General" sourceLinked="1"/>
        <c:tickLblPos val="nextTo"/>
        <c:crossAx val="37028224"/>
        <c:crosses val="autoZero"/>
        <c:crossBetween val="between"/>
      </c:valAx>
    </c:plotArea>
    <c:legend>
      <c:legendPos val="r"/>
    </c:legend>
    <c:plotVisOnly val="1"/>
  </c:chart>
  <c:spPr>
    <a:effectLst>
      <a:innerShdw blurRad="114300">
        <a:prstClr val="black"/>
      </a:innerShdw>
    </a:effectLst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удобство получения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неудовлетворительно</c:v>
                </c:pt>
                <c:pt idx="3">
                  <c:v>скорее 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понятности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неудовлетворительно</c:v>
                </c:pt>
                <c:pt idx="3">
                  <c:v>скорее неудовлетворительно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доступности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неудовлетворительно</c:v>
                </c:pt>
                <c:pt idx="3">
                  <c:v>скорее неудовлетворительно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hape val="cylinder"/>
        <c:axId val="43908480"/>
        <c:axId val="44346752"/>
        <c:axId val="0"/>
      </c:bar3DChart>
      <c:catAx>
        <c:axId val="43908480"/>
        <c:scaling>
          <c:orientation val="minMax"/>
        </c:scaling>
        <c:axPos val="l"/>
        <c:tickLblPos val="nextTo"/>
        <c:crossAx val="44346752"/>
        <c:crosses val="autoZero"/>
        <c:auto val="1"/>
        <c:lblAlgn val="ctr"/>
        <c:lblOffset val="100"/>
      </c:catAx>
      <c:valAx>
        <c:axId val="44346752"/>
        <c:scaling>
          <c:orientation val="minMax"/>
        </c:scaling>
        <c:axPos val="b"/>
        <c:majorGridlines/>
        <c:numFmt formatCode="General" sourceLinked="1"/>
        <c:tickLblPos val="nextTo"/>
        <c:crossAx val="43908480"/>
        <c:crosses val="autoZero"/>
        <c:crossBetween val="between"/>
      </c:valAx>
    </c:plotArea>
    <c:legend>
      <c:legendPos val="r"/>
    </c:legend>
    <c:plotVisOnly val="1"/>
  </c:chart>
  <c:spPr>
    <a:effectLst>
      <a:innerShdw blurRad="114300">
        <a:prstClr val="black"/>
      </a:innerShd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УДОВЛЕТВОРЕННОСТИ УРОВНЕМ ЦЕН НА ТОВАРЫ И УСЛУГИ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23</c:v>
                </c:pt>
                <c:pt idx="4">
                  <c:v>29</c:v>
                </c:pt>
                <c:pt idx="5">
                  <c:v>17</c:v>
                </c:pt>
                <c:pt idx="6">
                  <c:v>29</c:v>
                </c:pt>
                <c:pt idx="7">
                  <c:v>16</c:v>
                </c:pt>
                <c:pt idx="8">
                  <c:v>3</c:v>
                </c:pt>
                <c:pt idx="9">
                  <c:v>5.3</c:v>
                </c:pt>
                <c:pt idx="10">
                  <c:v>4.3</c:v>
                </c:pt>
                <c:pt idx="11">
                  <c:v>4.3</c:v>
                </c:pt>
                <c:pt idx="12">
                  <c:v>4.8</c:v>
                </c:pt>
                <c:pt idx="13">
                  <c:v>4.3</c:v>
                </c:pt>
                <c:pt idx="14">
                  <c:v>6.7</c:v>
                </c:pt>
                <c:pt idx="15">
                  <c:v>3.3</c:v>
                </c:pt>
                <c:pt idx="16">
                  <c:v>10</c:v>
                </c:pt>
                <c:pt idx="17">
                  <c:v>15</c:v>
                </c:pt>
                <c:pt idx="18">
                  <c:v>5.3</c:v>
                </c:pt>
                <c:pt idx="19">
                  <c:v>4.8</c:v>
                </c:pt>
                <c:pt idx="20">
                  <c:v>6.2</c:v>
                </c:pt>
                <c:pt idx="21">
                  <c:v>4.8</c:v>
                </c:pt>
                <c:pt idx="22">
                  <c:v>5.8</c:v>
                </c:pt>
                <c:pt idx="23">
                  <c:v>15.9</c:v>
                </c:pt>
                <c:pt idx="24">
                  <c:v>11</c:v>
                </c:pt>
                <c:pt idx="25">
                  <c:v>13</c:v>
                </c:pt>
                <c:pt idx="26">
                  <c:v>3.3</c:v>
                </c:pt>
                <c:pt idx="27">
                  <c:v>3.3</c:v>
                </c:pt>
                <c:pt idx="28">
                  <c:v>2.9</c:v>
                </c:pt>
                <c:pt idx="29">
                  <c:v>8</c:v>
                </c:pt>
                <c:pt idx="30">
                  <c:v>13</c:v>
                </c:pt>
                <c:pt idx="31">
                  <c:v>12</c:v>
                </c:pt>
                <c:pt idx="32">
                  <c:v>8.7000000000000011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38</c:v>
                </c:pt>
                <c:pt idx="1">
                  <c:v>48</c:v>
                </c:pt>
                <c:pt idx="2">
                  <c:v>16</c:v>
                </c:pt>
                <c:pt idx="3">
                  <c:v>10</c:v>
                </c:pt>
                <c:pt idx="4">
                  <c:v>7</c:v>
                </c:pt>
                <c:pt idx="5">
                  <c:v>8</c:v>
                </c:pt>
                <c:pt idx="6">
                  <c:v>7</c:v>
                </c:pt>
                <c:pt idx="7">
                  <c:v>17</c:v>
                </c:pt>
                <c:pt idx="8">
                  <c:v>9</c:v>
                </c:pt>
                <c:pt idx="9">
                  <c:v>6</c:v>
                </c:pt>
                <c:pt idx="10">
                  <c:v>34</c:v>
                </c:pt>
                <c:pt idx="11">
                  <c:v>19</c:v>
                </c:pt>
                <c:pt idx="12">
                  <c:v>24</c:v>
                </c:pt>
                <c:pt idx="13">
                  <c:v>12</c:v>
                </c:pt>
                <c:pt idx="14">
                  <c:v>12</c:v>
                </c:pt>
                <c:pt idx="15">
                  <c:v>7</c:v>
                </c:pt>
                <c:pt idx="16">
                  <c:v>19</c:v>
                </c:pt>
                <c:pt idx="17">
                  <c:v>8</c:v>
                </c:pt>
                <c:pt idx="18">
                  <c:v>21</c:v>
                </c:pt>
                <c:pt idx="19">
                  <c:v>9.6</c:v>
                </c:pt>
                <c:pt idx="20">
                  <c:v>22</c:v>
                </c:pt>
                <c:pt idx="21">
                  <c:v>15</c:v>
                </c:pt>
                <c:pt idx="22">
                  <c:v>21</c:v>
                </c:pt>
                <c:pt idx="23">
                  <c:v>9.1</c:v>
                </c:pt>
                <c:pt idx="24">
                  <c:v>11</c:v>
                </c:pt>
                <c:pt idx="25">
                  <c:v>10</c:v>
                </c:pt>
                <c:pt idx="26">
                  <c:v>9.6</c:v>
                </c:pt>
                <c:pt idx="27">
                  <c:v>8.6</c:v>
                </c:pt>
                <c:pt idx="28">
                  <c:v>7.7</c:v>
                </c:pt>
                <c:pt idx="29">
                  <c:v>10</c:v>
                </c:pt>
                <c:pt idx="30">
                  <c:v>14</c:v>
                </c:pt>
                <c:pt idx="31">
                  <c:v>6.2</c:v>
                </c:pt>
                <c:pt idx="32">
                  <c:v>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17</c:v>
                </c:pt>
                <c:pt idx="1">
                  <c:v>15</c:v>
                </c:pt>
                <c:pt idx="2">
                  <c:v>17</c:v>
                </c:pt>
                <c:pt idx="3">
                  <c:v>29</c:v>
                </c:pt>
                <c:pt idx="4">
                  <c:v>30</c:v>
                </c:pt>
                <c:pt idx="5">
                  <c:v>21</c:v>
                </c:pt>
                <c:pt idx="6">
                  <c:v>30</c:v>
                </c:pt>
                <c:pt idx="7">
                  <c:v>23</c:v>
                </c:pt>
                <c:pt idx="8">
                  <c:v>10</c:v>
                </c:pt>
                <c:pt idx="9">
                  <c:v>10</c:v>
                </c:pt>
                <c:pt idx="10">
                  <c:v>11</c:v>
                </c:pt>
                <c:pt idx="11">
                  <c:v>10</c:v>
                </c:pt>
                <c:pt idx="12">
                  <c:v>12</c:v>
                </c:pt>
                <c:pt idx="13">
                  <c:v>12</c:v>
                </c:pt>
                <c:pt idx="14">
                  <c:v>15</c:v>
                </c:pt>
                <c:pt idx="15">
                  <c:v>10</c:v>
                </c:pt>
                <c:pt idx="16">
                  <c:v>24</c:v>
                </c:pt>
                <c:pt idx="17">
                  <c:v>36</c:v>
                </c:pt>
                <c:pt idx="18">
                  <c:v>23</c:v>
                </c:pt>
                <c:pt idx="19">
                  <c:v>12.5</c:v>
                </c:pt>
                <c:pt idx="20">
                  <c:v>15</c:v>
                </c:pt>
                <c:pt idx="21">
                  <c:v>12</c:v>
                </c:pt>
                <c:pt idx="22">
                  <c:v>12</c:v>
                </c:pt>
                <c:pt idx="23">
                  <c:v>38.4</c:v>
                </c:pt>
                <c:pt idx="24">
                  <c:v>35</c:v>
                </c:pt>
                <c:pt idx="25">
                  <c:v>39</c:v>
                </c:pt>
                <c:pt idx="26">
                  <c:v>12.5</c:v>
                </c:pt>
                <c:pt idx="27">
                  <c:v>8</c:v>
                </c:pt>
                <c:pt idx="28">
                  <c:v>9.6</c:v>
                </c:pt>
                <c:pt idx="29">
                  <c:v>20</c:v>
                </c:pt>
                <c:pt idx="30">
                  <c:v>35</c:v>
                </c:pt>
                <c:pt idx="31">
                  <c:v>24.5</c:v>
                </c:pt>
                <c:pt idx="32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51</c:v>
                </c:pt>
                <c:pt idx="1">
                  <c:v>32</c:v>
                </c:pt>
                <c:pt idx="2">
                  <c:v>13</c:v>
                </c:pt>
                <c:pt idx="3">
                  <c:v>16</c:v>
                </c:pt>
                <c:pt idx="4">
                  <c:v>14</c:v>
                </c:pt>
                <c:pt idx="5">
                  <c:v>15</c:v>
                </c:pt>
                <c:pt idx="6">
                  <c:v>14</c:v>
                </c:pt>
                <c:pt idx="7">
                  <c:v>9</c:v>
                </c:pt>
                <c:pt idx="8">
                  <c:v>6</c:v>
                </c:pt>
                <c:pt idx="9">
                  <c:v>6.7</c:v>
                </c:pt>
                <c:pt idx="10">
                  <c:v>15</c:v>
                </c:pt>
                <c:pt idx="11">
                  <c:v>16</c:v>
                </c:pt>
                <c:pt idx="12">
                  <c:v>16.3</c:v>
                </c:pt>
                <c:pt idx="13">
                  <c:v>11</c:v>
                </c:pt>
                <c:pt idx="14">
                  <c:v>12</c:v>
                </c:pt>
                <c:pt idx="15">
                  <c:v>7</c:v>
                </c:pt>
                <c:pt idx="16">
                  <c:v>16</c:v>
                </c:pt>
                <c:pt idx="17">
                  <c:v>14.4</c:v>
                </c:pt>
                <c:pt idx="18">
                  <c:v>25</c:v>
                </c:pt>
                <c:pt idx="19">
                  <c:v>5.2</c:v>
                </c:pt>
                <c:pt idx="20">
                  <c:v>18</c:v>
                </c:pt>
                <c:pt idx="21">
                  <c:v>9</c:v>
                </c:pt>
                <c:pt idx="22">
                  <c:v>15</c:v>
                </c:pt>
                <c:pt idx="23">
                  <c:v>15</c:v>
                </c:pt>
                <c:pt idx="24">
                  <c:v>15.3</c:v>
                </c:pt>
                <c:pt idx="25">
                  <c:v>14</c:v>
                </c:pt>
                <c:pt idx="26">
                  <c:v>12</c:v>
                </c:pt>
                <c:pt idx="27">
                  <c:v>8.6</c:v>
                </c:pt>
                <c:pt idx="28">
                  <c:v>7.2</c:v>
                </c:pt>
                <c:pt idx="29">
                  <c:v>19.8</c:v>
                </c:pt>
                <c:pt idx="30">
                  <c:v>19</c:v>
                </c:pt>
                <c:pt idx="31">
                  <c:v>4.8</c:v>
                </c:pt>
                <c:pt idx="32">
                  <c:v>11.5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3</c:v>
                </c:pt>
                <c:pt idx="1">
                  <c:v>3</c:v>
                </c:pt>
                <c:pt idx="2">
                  <c:v>50</c:v>
                </c:pt>
                <c:pt idx="3">
                  <c:v>22</c:v>
                </c:pt>
                <c:pt idx="4">
                  <c:v>19</c:v>
                </c:pt>
                <c:pt idx="5">
                  <c:v>38</c:v>
                </c:pt>
                <c:pt idx="6">
                  <c:v>29</c:v>
                </c:pt>
                <c:pt idx="7">
                  <c:v>35</c:v>
                </c:pt>
                <c:pt idx="8">
                  <c:v>72</c:v>
                </c:pt>
                <c:pt idx="9">
                  <c:v>73</c:v>
                </c:pt>
                <c:pt idx="10">
                  <c:v>36</c:v>
                </c:pt>
                <c:pt idx="11">
                  <c:v>50</c:v>
                </c:pt>
                <c:pt idx="12">
                  <c:v>43</c:v>
                </c:pt>
                <c:pt idx="13">
                  <c:v>61</c:v>
                </c:pt>
                <c:pt idx="14">
                  <c:v>53</c:v>
                </c:pt>
                <c:pt idx="15">
                  <c:v>74</c:v>
                </c:pt>
                <c:pt idx="16">
                  <c:v>31.7</c:v>
                </c:pt>
                <c:pt idx="17">
                  <c:v>27</c:v>
                </c:pt>
                <c:pt idx="18">
                  <c:v>25</c:v>
                </c:pt>
                <c:pt idx="19">
                  <c:v>68</c:v>
                </c:pt>
                <c:pt idx="20">
                  <c:v>38</c:v>
                </c:pt>
                <c:pt idx="21">
                  <c:v>59</c:v>
                </c:pt>
                <c:pt idx="22">
                  <c:v>47</c:v>
                </c:pt>
                <c:pt idx="23">
                  <c:v>22</c:v>
                </c:pt>
                <c:pt idx="24">
                  <c:v>28</c:v>
                </c:pt>
                <c:pt idx="25">
                  <c:v>24</c:v>
                </c:pt>
                <c:pt idx="26">
                  <c:v>63</c:v>
                </c:pt>
                <c:pt idx="27">
                  <c:v>72</c:v>
                </c:pt>
                <c:pt idx="28">
                  <c:v>73</c:v>
                </c:pt>
                <c:pt idx="29">
                  <c:v>41.8</c:v>
                </c:pt>
                <c:pt idx="30">
                  <c:v>18.8</c:v>
                </c:pt>
                <c:pt idx="31">
                  <c:v>52</c:v>
                </c:pt>
                <c:pt idx="32">
                  <c:v>41</c:v>
                </c:pt>
              </c:numCache>
            </c:numRef>
          </c:val>
        </c:ser>
        <c:gapWidth val="75"/>
        <c:shape val="box"/>
        <c:axId val="94258688"/>
        <c:axId val="94260224"/>
        <c:axId val="43811264"/>
      </c:bar3DChart>
      <c:catAx>
        <c:axId val="94258688"/>
        <c:scaling>
          <c:orientation val="minMax"/>
        </c:scaling>
        <c:axPos val="b"/>
        <c:majorTickMark val="none"/>
        <c:tickLblPos val="nextTo"/>
        <c:crossAx val="94260224"/>
        <c:crosses val="autoZero"/>
        <c:auto val="1"/>
        <c:lblAlgn val="ctr"/>
        <c:lblOffset val="100"/>
      </c:catAx>
      <c:valAx>
        <c:axId val="94260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94258688"/>
        <c:crosses val="autoZero"/>
        <c:crossBetween val="between"/>
      </c:valAx>
      <c:serAx>
        <c:axId val="43811264"/>
        <c:scaling>
          <c:orientation val="minMax"/>
        </c:scaling>
        <c:delete val="1"/>
        <c:axPos val="b"/>
        <c:majorTickMark val="none"/>
        <c:tickLblPos val="nextTo"/>
        <c:crossAx val="94260224"/>
        <c:crosses val="autoZero"/>
      </c:serAx>
    </c:plotArea>
    <c:legend>
      <c:legendPos val="b"/>
    </c:legend>
    <c:plotVisOnly val="1"/>
  </c:chart>
  <c:spPr>
    <a:effectLst>
      <a:innerShdw blurRad="114300">
        <a:prstClr val="black"/>
      </a:innerShdw>
    </a:effectLst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 УДОВЛЕТВОРЕННОСТИ КАЧЕСТВОМ ТОВАРОВ И УСЛУГ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43</c:v>
                </c:pt>
                <c:pt idx="1">
                  <c:v>15</c:v>
                </c:pt>
                <c:pt idx="2">
                  <c:v>17</c:v>
                </c:pt>
                <c:pt idx="3">
                  <c:v>60</c:v>
                </c:pt>
                <c:pt idx="4">
                  <c:v>54</c:v>
                </c:pt>
                <c:pt idx="5">
                  <c:v>33</c:v>
                </c:pt>
                <c:pt idx="6">
                  <c:v>43</c:v>
                </c:pt>
                <c:pt idx="7">
                  <c:v>38</c:v>
                </c:pt>
                <c:pt idx="8">
                  <c:v>8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6</c:v>
                </c:pt>
                <c:pt idx="16">
                  <c:v>30</c:v>
                </c:pt>
                <c:pt idx="17">
                  <c:v>42</c:v>
                </c:pt>
                <c:pt idx="18">
                  <c:v>12</c:v>
                </c:pt>
                <c:pt idx="19">
                  <c:v>11</c:v>
                </c:pt>
                <c:pt idx="20">
                  <c:v>21</c:v>
                </c:pt>
                <c:pt idx="21">
                  <c:v>15</c:v>
                </c:pt>
                <c:pt idx="22">
                  <c:v>12</c:v>
                </c:pt>
                <c:pt idx="23">
                  <c:v>26</c:v>
                </c:pt>
                <c:pt idx="24">
                  <c:v>29</c:v>
                </c:pt>
                <c:pt idx="25">
                  <c:v>30</c:v>
                </c:pt>
                <c:pt idx="26">
                  <c:v>10</c:v>
                </c:pt>
                <c:pt idx="27">
                  <c:v>11</c:v>
                </c:pt>
                <c:pt idx="28">
                  <c:v>10</c:v>
                </c:pt>
                <c:pt idx="29">
                  <c:v>18</c:v>
                </c:pt>
                <c:pt idx="30">
                  <c:v>34</c:v>
                </c:pt>
                <c:pt idx="31">
                  <c:v>31</c:v>
                </c:pt>
                <c:pt idx="3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16</c:v>
                </c:pt>
                <c:pt idx="1">
                  <c:v>56</c:v>
                </c:pt>
                <c:pt idx="2">
                  <c:v>22</c:v>
                </c:pt>
                <c:pt idx="3">
                  <c:v>10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  <c:pt idx="10">
                  <c:v>19</c:v>
                </c:pt>
                <c:pt idx="11">
                  <c:v>16</c:v>
                </c:pt>
                <c:pt idx="12">
                  <c:v>40</c:v>
                </c:pt>
                <c:pt idx="13">
                  <c:v>11</c:v>
                </c:pt>
                <c:pt idx="14">
                  <c:v>9</c:v>
                </c:pt>
                <c:pt idx="15">
                  <c:v>7</c:v>
                </c:pt>
                <c:pt idx="16">
                  <c:v>18</c:v>
                </c:pt>
                <c:pt idx="17">
                  <c:v>12</c:v>
                </c:pt>
                <c:pt idx="18">
                  <c:v>37</c:v>
                </c:pt>
                <c:pt idx="19">
                  <c:v>10</c:v>
                </c:pt>
                <c:pt idx="20">
                  <c:v>19</c:v>
                </c:pt>
                <c:pt idx="21">
                  <c:v>15</c:v>
                </c:pt>
                <c:pt idx="22">
                  <c:v>18</c:v>
                </c:pt>
                <c:pt idx="23">
                  <c:v>11</c:v>
                </c:pt>
                <c:pt idx="24">
                  <c:v>77</c:v>
                </c:pt>
                <c:pt idx="25">
                  <c:v>10</c:v>
                </c:pt>
                <c:pt idx="26">
                  <c:v>7</c:v>
                </c:pt>
                <c:pt idx="27">
                  <c:v>8</c:v>
                </c:pt>
                <c:pt idx="28">
                  <c:v>7</c:v>
                </c:pt>
                <c:pt idx="29">
                  <c:v>12</c:v>
                </c:pt>
                <c:pt idx="30">
                  <c:v>16</c:v>
                </c:pt>
                <c:pt idx="31">
                  <c:v>8</c:v>
                </c:pt>
                <c:pt idx="3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95</c:v>
                </c:pt>
                <c:pt idx="1">
                  <c:v>43</c:v>
                </c:pt>
                <c:pt idx="2">
                  <c:v>36</c:v>
                </c:pt>
                <c:pt idx="3">
                  <c:v>66</c:v>
                </c:pt>
                <c:pt idx="4">
                  <c:v>70</c:v>
                </c:pt>
                <c:pt idx="5">
                  <c:v>48</c:v>
                </c:pt>
                <c:pt idx="6">
                  <c:v>72</c:v>
                </c:pt>
                <c:pt idx="7">
                  <c:v>63</c:v>
                </c:pt>
                <c:pt idx="8">
                  <c:v>16</c:v>
                </c:pt>
                <c:pt idx="9">
                  <c:v>15</c:v>
                </c:pt>
                <c:pt idx="10">
                  <c:v>30</c:v>
                </c:pt>
                <c:pt idx="11">
                  <c:v>37</c:v>
                </c:pt>
                <c:pt idx="12">
                  <c:v>28</c:v>
                </c:pt>
                <c:pt idx="13">
                  <c:v>27</c:v>
                </c:pt>
                <c:pt idx="14">
                  <c:v>27</c:v>
                </c:pt>
                <c:pt idx="15">
                  <c:v>21</c:v>
                </c:pt>
                <c:pt idx="16">
                  <c:v>53</c:v>
                </c:pt>
                <c:pt idx="17">
                  <c:v>79</c:v>
                </c:pt>
                <c:pt idx="18">
                  <c:v>53</c:v>
                </c:pt>
                <c:pt idx="19">
                  <c:v>25</c:v>
                </c:pt>
                <c:pt idx="20">
                  <c:v>49</c:v>
                </c:pt>
                <c:pt idx="21">
                  <c:v>40</c:v>
                </c:pt>
                <c:pt idx="22">
                  <c:v>45</c:v>
                </c:pt>
                <c:pt idx="23">
                  <c:v>79</c:v>
                </c:pt>
                <c:pt idx="24">
                  <c:v>77</c:v>
                </c:pt>
                <c:pt idx="25">
                  <c:v>81</c:v>
                </c:pt>
                <c:pt idx="26">
                  <c:v>32</c:v>
                </c:pt>
                <c:pt idx="27">
                  <c:v>22</c:v>
                </c:pt>
                <c:pt idx="28">
                  <c:v>24</c:v>
                </c:pt>
                <c:pt idx="29">
                  <c:v>53</c:v>
                </c:pt>
                <c:pt idx="30">
                  <c:v>72</c:v>
                </c:pt>
                <c:pt idx="31">
                  <c:v>47</c:v>
                </c:pt>
                <c:pt idx="32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26</c:v>
                </c:pt>
                <c:pt idx="1">
                  <c:v>74</c:v>
                </c:pt>
                <c:pt idx="2">
                  <c:v>28</c:v>
                </c:pt>
                <c:pt idx="3">
                  <c:v>22</c:v>
                </c:pt>
                <c:pt idx="4">
                  <c:v>23</c:v>
                </c:pt>
                <c:pt idx="5">
                  <c:v>22</c:v>
                </c:pt>
                <c:pt idx="6">
                  <c:v>23</c:v>
                </c:pt>
                <c:pt idx="7">
                  <c:v>13</c:v>
                </c:pt>
                <c:pt idx="8">
                  <c:v>13</c:v>
                </c:pt>
                <c:pt idx="9">
                  <c:v>15</c:v>
                </c:pt>
                <c:pt idx="10">
                  <c:v>27</c:v>
                </c:pt>
                <c:pt idx="11">
                  <c:v>21</c:v>
                </c:pt>
                <c:pt idx="12">
                  <c:v>51</c:v>
                </c:pt>
                <c:pt idx="13">
                  <c:v>19</c:v>
                </c:pt>
                <c:pt idx="14">
                  <c:v>20</c:v>
                </c:pt>
                <c:pt idx="15">
                  <c:v>11</c:v>
                </c:pt>
                <c:pt idx="16">
                  <c:v>26</c:v>
                </c:pt>
                <c:pt idx="17">
                  <c:v>22</c:v>
                </c:pt>
                <c:pt idx="18">
                  <c:v>34</c:v>
                </c:pt>
                <c:pt idx="19">
                  <c:v>9</c:v>
                </c:pt>
                <c:pt idx="20">
                  <c:v>20</c:v>
                </c:pt>
                <c:pt idx="21">
                  <c:v>16</c:v>
                </c:pt>
                <c:pt idx="22">
                  <c:v>21</c:v>
                </c:pt>
                <c:pt idx="23">
                  <c:v>31</c:v>
                </c:pt>
                <c:pt idx="24">
                  <c:v>22</c:v>
                </c:pt>
                <c:pt idx="25">
                  <c:v>23</c:v>
                </c:pt>
                <c:pt idx="26">
                  <c:v>15</c:v>
                </c:pt>
                <c:pt idx="27">
                  <c:v>11</c:v>
                </c:pt>
                <c:pt idx="28">
                  <c:v>11</c:v>
                </c:pt>
                <c:pt idx="29">
                  <c:v>31</c:v>
                </c:pt>
                <c:pt idx="30">
                  <c:v>35</c:v>
                </c:pt>
                <c:pt idx="31">
                  <c:v>7</c:v>
                </c:pt>
                <c:pt idx="32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28</c:v>
                </c:pt>
                <c:pt idx="1">
                  <c:v>20</c:v>
                </c:pt>
                <c:pt idx="2">
                  <c:v>105</c:v>
                </c:pt>
                <c:pt idx="3">
                  <c:v>50</c:v>
                </c:pt>
                <c:pt idx="4">
                  <c:v>48</c:v>
                </c:pt>
                <c:pt idx="5">
                  <c:v>92</c:v>
                </c:pt>
                <c:pt idx="6">
                  <c:v>58</c:v>
                </c:pt>
                <c:pt idx="7">
                  <c:v>86</c:v>
                </c:pt>
                <c:pt idx="8">
                  <c:v>164</c:v>
                </c:pt>
                <c:pt idx="9">
                  <c:v>159</c:v>
                </c:pt>
                <c:pt idx="10">
                  <c:v>121</c:v>
                </c:pt>
                <c:pt idx="11">
                  <c:v>123</c:v>
                </c:pt>
                <c:pt idx="12">
                  <c:v>78</c:v>
                </c:pt>
                <c:pt idx="13">
                  <c:v>138</c:v>
                </c:pt>
                <c:pt idx="14">
                  <c:v>136</c:v>
                </c:pt>
                <c:pt idx="15">
                  <c:v>163</c:v>
                </c:pt>
                <c:pt idx="16">
                  <c:v>81</c:v>
                </c:pt>
                <c:pt idx="17">
                  <c:v>53</c:v>
                </c:pt>
                <c:pt idx="18">
                  <c:v>72</c:v>
                </c:pt>
                <c:pt idx="19">
                  <c:v>153</c:v>
                </c:pt>
                <c:pt idx="20">
                  <c:v>99</c:v>
                </c:pt>
                <c:pt idx="21">
                  <c:v>122</c:v>
                </c:pt>
                <c:pt idx="22">
                  <c:v>112</c:v>
                </c:pt>
                <c:pt idx="23">
                  <c:v>61</c:v>
                </c:pt>
                <c:pt idx="24">
                  <c:v>67</c:v>
                </c:pt>
                <c:pt idx="25">
                  <c:v>64</c:v>
                </c:pt>
                <c:pt idx="26">
                  <c:v>144</c:v>
                </c:pt>
                <c:pt idx="27">
                  <c:v>156</c:v>
                </c:pt>
                <c:pt idx="28">
                  <c:v>156</c:v>
                </c:pt>
                <c:pt idx="29">
                  <c:v>94</c:v>
                </c:pt>
                <c:pt idx="30">
                  <c:v>51</c:v>
                </c:pt>
                <c:pt idx="31">
                  <c:v>115</c:v>
                </c:pt>
                <c:pt idx="32">
                  <c:v>94</c:v>
                </c:pt>
              </c:numCache>
            </c:numRef>
          </c:val>
        </c:ser>
        <c:shape val="box"/>
        <c:axId val="36951168"/>
        <c:axId val="36952704"/>
        <c:axId val="44030592"/>
      </c:bar3DChart>
      <c:catAx>
        <c:axId val="36951168"/>
        <c:scaling>
          <c:orientation val="minMax"/>
        </c:scaling>
        <c:axPos val="b"/>
        <c:majorTickMark val="none"/>
        <c:tickLblPos val="nextTo"/>
        <c:crossAx val="36952704"/>
        <c:crosses val="autoZero"/>
        <c:auto val="1"/>
        <c:lblAlgn val="ctr"/>
        <c:lblOffset val="100"/>
      </c:catAx>
      <c:valAx>
        <c:axId val="369527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6951168"/>
        <c:crosses val="autoZero"/>
        <c:crossBetween val="between"/>
      </c:valAx>
      <c:serAx>
        <c:axId val="44030592"/>
        <c:scaling>
          <c:orientation val="minMax"/>
        </c:scaling>
        <c:delete val="1"/>
        <c:axPos val="b"/>
        <c:tickLblPos val="nextTo"/>
        <c:crossAx val="36952704"/>
        <c:crosses val="autoZero"/>
      </c:serAx>
    </c:plotArea>
    <c:legend>
      <c:legendPos val="r"/>
    </c:legend>
    <c:plotVisOnly val="1"/>
  </c:chart>
  <c:spPr>
    <a:effectLst>
      <a:innerShdw blurRad="114300">
        <a:prstClr val="black"/>
      </a:innerShd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D59C-9D2F-497A-A075-F93B5A8A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</dc:creator>
  <cp:keywords/>
  <dc:description/>
  <cp:lastModifiedBy>МФЦ-17</cp:lastModifiedBy>
  <cp:revision>201</cp:revision>
  <dcterms:created xsi:type="dcterms:W3CDTF">2020-12-17T01:46:00Z</dcterms:created>
  <dcterms:modified xsi:type="dcterms:W3CDTF">2023-02-07T03:59:00Z</dcterms:modified>
</cp:coreProperties>
</file>